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27A4E" w:rsidR="00A00F0F" w:rsidP="00A00F0F" w:rsidRDefault="00A00F0F" w14:paraId="68C29F91" w14:textId="31F25171">
      <w:pPr>
        <w:shd w:val="clear" w:color="auto" w:fill="FFFFFF"/>
        <w:spacing w:after="0" w:line="240" w:lineRule="auto"/>
        <w:jc w:val="right"/>
        <w:rPr>
          <w:rFonts w:ascii="GHEA Grapalat" w:hAnsi="GHEA Grapalat" w:cs="Times New Roman"/>
          <w:b/>
          <w:bCs/>
          <w:sz w:val="24"/>
          <w:szCs w:val="24"/>
        </w:rPr>
      </w:pPr>
      <w:r w:rsidRPr="2ECA1E25" w:rsidR="00A00F0F">
        <w:rPr>
          <w:rFonts w:ascii="Calibri" w:hAnsi="Calibri" w:cs="Calibri"/>
          <w:b w:val="1"/>
          <w:bCs w:val="1"/>
          <w:sz w:val="24"/>
          <w:szCs w:val="24"/>
          <w:lang w:val="hy-AM"/>
        </w:rPr>
        <w:t> </w:t>
      </w:r>
      <w:r w:rsidRPr="2ECA1E25" w:rsidR="00A00F0F">
        <w:rPr>
          <w:rFonts w:ascii="GHEA Grapalat" w:hAnsi="GHEA Grapalat" w:cs="Times New Roman"/>
          <w:b w:val="1"/>
          <w:bCs w:val="1"/>
          <w:sz w:val="24"/>
          <w:szCs w:val="24"/>
          <w:lang w:val="hy-AM"/>
        </w:rPr>
        <w:t xml:space="preserve">Ձև </w:t>
      </w:r>
      <w:r w:rsidRPr="2ECA1E25" w:rsidR="00127A4E">
        <w:rPr>
          <w:rFonts w:ascii="GHEA Grapalat" w:hAnsi="GHEA Grapalat" w:cs="Times New Roman"/>
          <w:b w:val="1"/>
          <w:bCs w:val="1"/>
          <w:sz w:val="24"/>
          <w:szCs w:val="24"/>
        </w:rPr>
        <w:t>2</w:t>
      </w:r>
    </w:p>
    <w:p w:rsidRPr="00127A4E" w:rsidR="001460E5" w:rsidP="0009684E" w:rsidRDefault="0009684E" w14:paraId="4E6D7728" w14:textId="6F1DC89E">
      <w:pPr>
        <w:spacing w:before="200" w:after="0" w:line="360" w:lineRule="auto"/>
        <w:jc w:val="center"/>
        <w:rPr>
          <w:rFonts w:ascii="GHEA Grapalat" w:hAnsi="GHEA Grapalat" w:cs="Times New Roman"/>
          <w:b/>
          <w:bCs/>
          <w:sz w:val="24"/>
          <w:szCs w:val="24"/>
          <w:lang w:val="hy-AM"/>
          <w14:ligatures w14:val="none"/>
        </w:rPr>
      </w:pPr>
      <w:r w:rsidRPr="00127A4E">
        <w:rPr>
          <w:rFonts w:ascii="GHEA Grapalat" w:hAnsi="GHEA Grapalat" w:cs="Times New Roman"/>
          <w:b/>
          <w:bCs/>
          <w:sz w:val="24"/>
          <w:szCs w:val="24"/>
          <w:lang w:val="hy-AM"/>
          <w14:ligatures w14:val="none"/>
        </w:rPr>
        <w:t>ՆԱԽՆԱԿԱՆ ՏԵԽՆԻԿԱՏՆՏԵՍԱԿԱՆ ՀԻՄՆԱՎՈՐՄԱՆ ԲՈՎԱՆԴԱԿՈՒԹՅԱՆ և ՏԵԽՆԻԿԱՏՆՏԵՍԱԿԱՆ ՈՒՍՈՒՄՆԱՍԻՐՈՒԹՅԱՆ ԲՈՎԱՆԴԱԿՈՒԹՅԱՆ ՆՎԱԶԱԳՈՒՅՆ ՊԱՀԱՆՋՆԵՐԸ</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0" w:type="dxa"/>
        </w:tblCellMar>
        <w:tblLook w:val="04A0" w:firstRow="1" w:lastRow="0" w:firstColumn="1" w:lastColumn="0" w:noHBand="0" w:noVBand="1"/>
      </w:tblPr>
      <w:tblGrid>
        <w:gridCol w:w="1833"/>
        <w:gridCol w:w="3799"/>
        <w:gridCol w:w="3718"/>
      </w:tblGrid>
      <w:tr w:rsidRPr="00127A4E" w:rsidR="00F10F9D" w:rsidTr="00DF6CF3" w14:paraId="1A099D0E" w14:textId="77777777">
        <w:trPr>
          <w:trHeight w:val="122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46560C" w:rsidRDefault="0046560C" w14:paraId="2CAA39A8" w14:textId="6A97C169">
            <w:pPr>
              <w:spacing w:before="200" w:after="0" w:line="360" w:lineRule="auto"/>
              <w:jc w:val="center"/>
              <w:rPr>
                <w:rFonts w:ascii="GHEA Grapalat" w:hAnsi="GHEA Grapalat" w:cs="Arial"/>
                <w:color w:val="auto"/>
                <w:sz w:val="20"/>
                <w:szCs w:val="20"/>
                <w:lang w:val="hy-AM"/>
              </w:rPr>
            </w:pPr>
            <w:r w:rsidRPr="00127A4E">
              <w:rPr>
                <w:rFonts w:ascii="GHEA Grapalat" w:hAnsi="GHEA Grapalat" w:cs="Arial"/>
                <w:b/>
                <w:bCs/>
                <w:color w:val="auto"/>
                <w:sz w:val="20"/>
                <w:szCs w:val="20"/>
                <w:lang w:val="hy-AM"/>
              </w:rPr>
              <w:t>Բաժին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1972B188" w14:textId="77777777">
            <w:pPr>
              <w:spacing w:before="200" w:after="0" w:line="360" w:lineRule="auto"/>
              <w:jc w:val="center"/>
              <w:rPr>
                <w:rFonts w:ascii="GHEA Grapalat" w:hAnsi="GHEA Grapalat" w:cs="Arial"/>
                <w:b/>
                <w:bCs/>
                <w:color w:val="auto"/>
                <w:sz w:val="20"/>
                <w:szCs w:val="20"/>
                <w:lang w:val="hy-AM"/>
              </w:rPr>
            </w:pPr>
            <w:r w:rsidRPr="00127A4E">
              <w:rPr>
                <w:rFonts w:ascii="GHEA Grapalat" w:hAnsi="GHEA Grapalat" w:cs="Arial"/>
                <w:b/>
                <w:bCs/>
                <w:color w:val="auto"/>
                <w:sz w:val="20"/>
                <w:szCs w:val="20"/>
                <w:lang w:val="hy-AM"/>
              </w:rPr>
              <w:t>Նախնական տեխնիկատնտեսական հիմնավորում</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0117D87" w14:textId="77777777">
            <w:pPr>
              <w:spacing w:before="200" w:after="0" w:line="360" w:lineRule="auto"/>
              <w:jc w:val="center"/>
              <w:rPr>
                <w:rFonts w:ascii="GHEA Grapalat" w:hAnsi="GHEA Grapalat" w:cs="Arial"/>
                <w:b/>
                <w:bCs/>
                <w:color w:val="auto"/>
                <w:sz w:val="20"/>
                <w:szCs w:val="20"/>
                <w:lang w:val="hy-AM"/>
              </w:rPr>
            </w:pPr>
            <w:r w:rsidRPr="00127A4E">
              <w:rPr>
                <w:rFonts w:ascii="GHEA Grapalat" w:hAnsi="GHEA Grapalat" w:cs="Arial"/>
                <w:b/>
                <w:bCs/>
                <w:color w:val="auto"/>
                <w:sz w:val="20"/>
                <w:szCs w:val="20"/>
                <w:lang w:val="hy-AM"/>
              </w:rPr>
              <w:t>Տեխնիկատնտեսական վերլուծություն</w:t>
            </w:r>
          </w:p>
        </w:tc>
      </w:tr>
      <w:tr w:rsidRPr="00127A4E" w:rsidR="00F10F9D" w:rsidTr="00DF6CF3" w14:paraId="565ADB94" w14:textId="77777777">
        <w:trPr>
          <w:trHeight w:val="122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DDAE2F8"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շրջանակ, այլընտրանքներ</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1424FD6"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ընդհանուր նկարագիրը, շրջանակը, նպատակները, պահանջվող ենթակառուցվածքները և ծառայությունները, նպատակներին հասնելու հնարավոր այլընտրանքները</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7FD957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մանրամասն նկարագրություն, ներառյալ </w:t>
            </w:r>
            <w:proofErr w:type="spellStart"/>
            <w:r w:rsidRPr="00127A4E">
              <w:rPr>
                <w:rFonts w:ascii="GHEA Grapalat" w:hAnsi="GHEA Grapalat" w:cs="Arial"/>
                <w:color w:val="auto"/>
                <w:sz w:val="20"/>
                <w:szCs w:val="20"/>
                <w:lang w:val="hy-AM"/>
              </w:rPr>
              <w:t>տեղայնքը</w:t>
            </w:r>
            <w:proofErr w:type="spellEnd"/>
            <w:r w:rsidRPr="00127A4E">
              <w:rPr>
                <w:rFonts w:ascii="GHEA Grapalat" w:hAnsi="GHEA Grapalat" w:cs="Arial"/>
                <w:color w:val="auto"/>
                <w:sz w:val="20"/>
                <w:szCs w:val="20"/>
                <w:lang w:val="hy-AM"/>
              </w:rPr>
              <w:t xml:space="preserve">, դիզայնի ամփոփ նկարագիրը, շրջանակը </w:t>
            </w:r>
          </w:p>
        </w:tc>
      </w:tr>
      <w:tr w:rsidRPr="00127A4E" w:rsidR="00F10F9D" w:rsidTr="00DF6CF3" w14:paraId="4885B59B" w14:textId="77777777">
        <w:trPr>
          <w:trHeight w:val="350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6A69A33"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Նախագիծ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07683C5"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նախագիծը, որը հանդիսանում է տվյալ ոլորտի համար սովորաբար կիրառելի ընդհանրական նախագիծ՝ ծրագրի իրականացման վայրին բնորոշ առանձնահատկություններով։ </w:t>
            </w:r>
          </w:p>
          <w:p w:rsidRPr="00127A4E" w:rsidR="00F10F9D" w:rsidP="00DF6CF3" w:rsidRDefault="00F10F9D" w14:paraId="0DAA167A" w14:textId="77777777">
            <w:pPr>
              <w:spacing w:before="200" w:after="0" w:line="360" w:lineRule="auto"/>
              <w:rPr>
                <w:rFonts w:ascii="GHEA Grapalat" w:hAnsi="GHEA Grapalat" w:cs="Arial"/>
                <w:color w:val="auto"/>
                <w:sz w:val="20"/>
                <w:szCs w:val="20"/>
                <w:lang w:val="hy-AM"/>
              </w:rPr>
            </w:pP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12D0E2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Հաշվի են առնվում շինարարական տեղամասի, տարածքի </w:t>
            </w:r>
            <w:proofErr w:type="spellStart"/>
            <w:r w:rsidRPr="00127A4E">
              <w:rPr>
                <w:rFonts w:ascii="GHEA Grapalat" w:hAnsi="GHEA Grapalat" w:cs="Arial"/>
                <w:color w:val="auto"/>
                <w:sz w:val="20"/>
                <w:szCs w:val="20"/>
                <w:lang w:val="hy-AM"/>
              </w:rPr>
              <w:t>ինժեներաերկրաբանական</w:t>
            </w:r>
            <w:proofErr w:type="spellEnd"/>
            <w:r w:rsidRPr="00127A4E">
              <w:rPr>
                <w:rFonts w:ascii="GHEA Grapalat" w:hAnsi="GHEA Grapalat" w:cs="Arial"/>
                <w:color w:val="auto"/>
                <w:sz w:val="20"/>
                <w:szCs w:val="20"/>
                <w:lang w:val="hy-AM"/>
              </w:rPr>
              <w:t xml:space="preserve">, գոյություն ունեցող շենքերի, շինությունների և կառուցվածքների փաստացի տեխնիկական վիճակի </w:t>
            </w:r>
            <w:proofErr w:type="spellStart"/>
            <w:r w:rsidRPr="00127A4E">
              <w:rPr>
                <w:rFonts w:ascii="GHEA Grapalat" w:hAnsi="GHEA Grapalat" w:cs="Arial"/>
                <w:color w:val="auto"/>
                <w:sz w:val="20"/>
                <w:szCs w:val="20"/>
                <w:lang w:val="hy-AM"/>
              </w:rPr>
              <w:t>հետազննության</w:t>
            </w:r>
            <w:proofErr w:type="spellEnd"/>
            <w:r w:rsidRPr="00127A4E">
              <w:rPr>
                <w:rFonts w:ascii="GHEA Grapalat" w:hAnsi="GHEA Grapalat" w:cs="Arial"/>
                <w:color w:val="auto"/>
                <w:sz w:val="20"/>
                <w:szCs w:val="20"/>
                <w:lang w:val="hy-AM"/>
              </w:rPr>
              <w:t xml:space="preserve"> հետ կապված ինժեներատեխնիկական և նախագծանախահաշվային աշխատանքների </w:t>
            </w:r>
            <w:proofErr w:type="spellStart"/>
            <w:r w:rsidRPr="00127A4E">
              <w:rPr>
                <w:rFonts w:ascii="GHEA Grapalat" w:hAnsi="GHEA Grapalat" w:cs="Arial"/>
                <w:color w:val="auto"/>
                <w:sz w:val="20"/>
                <w:szCs w:val="20"/>
                <w:lang w:val="hy-AM"/>
              </w:rPr>
              <w:t>արդյուքնները</w:t>
            </w:r>
            <w:proofErr w:type="spellEnd"/>
            <w:r w:rsidRPr="00127A4E">
              <w:rPr>
                <w:rFonts w:ascii="GHEA Grapalat" w:hAnsi="GHEA Grapalat" w:cs="Arial"/>
                <w:color w:val="auto"/>
                <w:sz w:val="20"/>
                <w:szCs w:val="20"/>
                <w:lang w:val="hy-AM"/>
              </w:rPr>
              <w:t>.</w:t>
            </w:r>
          </w:p>
        </w:tc>
      </w:tr>
      <w:tr w:rsidRPr="00127A4E" w:rsidR="00F10F9D" w:rsidTr="00DF6CF3" w14:paraId="0CC01D6B" w14:textId="77777777">
        <w:trPr>
          <w:trHeight w:val="522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C94CC4E"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Շրջակա միջավայրի վրա ազդեցություն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36EB3BE"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շրջակա    միջավայրի վրա ազդեցությունը՝ ներառյալ  ծրագրի իրականացման արդյունքում շրջակա միջավայրի և մարդկանց առողջության վրա հնարավոր բացասական ազդեցությունը.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8F2269C"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«Շրջակա միջավայրի վրա ազդեցության  գնահատման և փորձաքննության մասին» օրենքի  համաձայն հնարավոր ծրագրի նախագծի ռազմավարական գնահատումն ու փորձաքննության անցկացումը, որը ներառում է նախքան շինարարությունը շինարարության և դրան հաջորդող փուլերի բնապահպանական խնդիրների </w:t>
            </w:r>
            <w:proofErr w:type="spellStart"/>
            <w:r w:rsidRPr="00127A4E">
              <w:rPr>
                <w:rFonts w:ascii="GHEA Grapalat" w:hAnsi="GHEA Grapalat" w:cs="Arial"/>
                <w:color w:val="auto"/>
                <w:sz w:val="20"/>
                <w:szCs w:val="20"/>
                <w:lang w:val="hy-AM"/>
              </w:rPr>
              <w:t>վերհանումը</w:t>
            </w:r>
            <w:proofErr w:type="spellEnd"/>
            <w:r w:rsidRPr="00127A4E">
              <w:rPr>
                <w:rFonts w:ascii="GHEA Grapalat" w:hAnsi="GHEA Grapalat" w:cs="Arial"/>
                <w:color w:val="auto"/>
                <w:sz w:val="20"/>
                <w:szCs w:val="20"/>
                <w:lang w:val="hy-AM"/>
              </w:rPr>
              <w:t>, դրանց ազդեցության գնահատումը և անհրաժեշտության դեպքում մեղմացման միջոցառումների մշակումը, այդ թվում` դրանց առնչվող ծախսերի գնահատումը.</w:t>
            </w:r>
          </w:p>
        </w:tc>
      </w:tr>
      <w:tr w:rsidRPr="00127A4E" w:rsidR="00F10F9D" w:rsidTr="00DF6CF3" w14:paraId="652AB821" w14:textId="77777777">
        <w:trPr>
          <w:trHeight w:val="291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135572E"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Սոցիալական ազդեցություն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365E5A3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սոցիալական ազդեցությունը, ներառյալ` հողի և վերաբնակեցման անհրաժեշտության վերլուծությունը` սահմանափակված հողի ձեռքբերման և վերաբնակեցման հետ կապված և ծրագրի իրականացմանը խոչընդոտող կամ լրացուցիչ ծախսեր առաջացնող խնդիրների վերհանմամբ, ծրագրի` գենդերային, համայնքների, տեղական զբաղվածության վրա ազդեցության վերլուծությունը` սահմանափակված ծրագրի իրականացման էական խնդիրներին անդրադարձով</w:t>
            </w:r>
            <w:r w:rsidRPr="00127A4E">
              <w:rPr>
                <w:rFonts w:hint="eastAsia" w:ascii="MS Mincho" w:hAnsi="MS Mincho" w:eastAsia="MS Mincho" w:cs="MS Mincho"/>
                <w:color w:val="auto"/>
                <w:sz w:val="20"/>
                <w:szCs w:val="20"/>
                <w:lang w:val="hy-AM"/>
              </w:rPr>
              <w:t>․</w:t>
            </w:r>
            <w:r w:rsidRPr="00127A4E">
              <w:rPr>
                <w:rFonts w:ascii="GHEA Grapalat" w:hAnsi="GHEA Grapalat" w:cs="Arial"/>
                <w:color w:val="auto"/>
                <w:sz w:val="20"/>
                <w:szCs w:val="20"/>
                <w:lang w:val="hy-AM"/>
              </w:rPr>
              <w:t xml:space="preserve">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CB826BB"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սոցիալական ազդեցությունը, ներառյալ`</w:t>
            </w:r>
          </w:p>
          <w:p w:rsidRPr="00127A4E" w:rsidR="00F10F9D" w:rsidP="00DF6CF3" w:rsidRDefault="00F10F9D" w14:paraId="1FB2AE99"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հողամասերի և վերաբնակեցման անհրաժեշտության վերլուծությունը` հիմք ընդունելով հողամասերի սեփականության իրավունքի ձեռքբերման գծով անհրաժեշտ և նախատեսվող ծախսերը, ինչպես նաև հանրության գերակա շահերի ապահովման նպատակով սեփականության օտարման ընթացակարգերի կիրառման ծախսերը և ժամկետները.</w:t>
            </w:r>
          </w:p>
          <w:p w:rsidRPr="00127A4E" w:rsidR="00F10F9D" w:rsidP="00DF6CF3" w:rsidRDefault="00F10F9D" w14:paraId="24E0F52E"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ծրագրի` ժողովրդագրական, տեղական համայնքների, տեղական զբաղվածության վրա ազդեցության ամբողջական վերլուծություն.</w:t>
            </w:r>
          </w:p>
        </w:tc>
      </w:tr>
      <w:tr w:rsidRPr="00127A4E" w:rsidR="00F10F9D" w:rsidTr="00DF6CF3" w14:paraId="4B392248" w14:textId="77777777">
        <w:trPr>
          <w:trHeight w:val="393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32E6C2B3"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Տնտեսական ազդեցություն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9C8186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տնտեսական ազդեցությունը, որը ծրագրի գործողության ողջ ժամանակահատվածում հասարակության համար դրա ընդհանուր տնտեսական ծախսերի և օգուտների գնահատումն է: Ծրագրի տնտեսական ազդեցության ուսումնասիրությունը ներառում է նախնական ՏՇՆԴ-ի հաշվարկման և դրա բազային դրույքի հետ համադրման միջոցով որոշվող ծրագրի տնտեսական կենսունակության գնահատումը, ֆիզիկական ենթակառուցվածքների և շահագործման գծով ծախսերը` հաշվարկված՝ ըստ մոտավոր արժեքների,     սոցիալական ծախսերը և օգուտները` ըստ շահառուների մոտավոր թվով հաշվարկված ազգային միջին արժեքների.</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C5D1D4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տնտեսական ազդեցությունը, որը ծրագրի գործողության ողջ ժամանակահատվածում հասարակության համար դրա ընդհանուր տնտեսական ծախսերի և օգուտների գնահատումն է: Սոցիալական ծախսերը և օգուտները` ըստ շահառուների ճշգրիտ թվով հաշվարկված ազգային կամ տարածաշրջանային միջին արժեքների.</w:t>
            </w:r>
          </w:p>
        </w:tc>
      </w:tr>
      <w:tr w:rsidRPr="00127A4E" w:rsidR="00F10F9D" w:rsidTr="00DF6CF3" w14:paraId="492E7D34" w14:textId="77777777">
        <w:trPr>
          <w:trHeight w:val="479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9E4F6C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Կապիտալ ծախսեր</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FDCFDB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ծախսերը գնահատվում են՝ հիմք ընդունելով ծրագրի ընդհանրական նախագիծը և դրանց առկայության դեպքում հնարավոր առանձնահատկությունները</w:t>
            </w:r>
            <w:r w:rsidRPr="00127A4E">
              <w:rPr>
                <w:rFonts w:hint="eastAsia" w:ascii="MS Mincho" w:hAnsi="MS Mincho" w:eastAsia="MS Mincho" w:cs="MS Mincho"/>
                <w:color w:val="auto"/>
                <w:sz w:val="20"/>
                <w:szCs w:val="20"/>
                <w:lang w:val="hy-AM"/>
              </w:rPr>
              <w:t>․</w:t>
            </w:r>
          </w:p>
          <w:p w:rsidRPr="00127A4E" w:rsidR="00F10F9D" w:rsidP="00DF6CF3" w:rsidRDefault="00F10F9D" w14:paraId="2BFE8796"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հետ կապված շինարարության, սարքավորումների և անհրաժեշտ հողամասերի գծով ծախսերի </w:t>
            </w:r>
            <w:proofErr w:type="spellStart"/>
            <w:r w:rsidRPr="00127A4E">
              <w:rPr>
                <w:rFonts w:ascii="GHEA Grapalat" w:hAnsi="GHEA Grapalat" w:cs="Arial"/>
                <w:color w:val="auto"/>
                <w:sz w:val="20"/>
                <w:szCs w:val="20"/>
                <w:lang w:val="hy-AM"/>
              </w:rPr>
              <w:t>մոտարկված</w:t>
            </w:r>
            <w:proofErr w:type="spellEnd"/>
            <w:r w:rsidRPr="00127A4E">
              <w:rPr>
                <w:rFonts w:ascii="GHEA Grapalat" w:hAnsi="GHEA Grapalat" w:cs="Arial"/>
                <w:color w:val="auto"/>
                <w:sz w:val="20"/>
                <w:szCs w:val="20"/>
                <w:lang w:val="hy-AM"/>
              </w:rPr>
              <w:t xml:space="preserve"> գնահատում՝ մոտավոր քանակների և ուղենիշային ծախսերի </w:t>
            </w:r>
            <w:proofErr w:type="spellStart"/>
            <w:r w:rsidRPr="00127A4E">
              <w:rPr>
                <w:rFonts w:ascii="GHEA Grapalat" w:hAnsi="GHEA Grapalat" w:cs="Arial"/>
                <w:color w:val="auto"/>
                <w:sz w:val="20"/>
                <w:szCs w:val="20"/>
                <w:lang w:val="hy-AM"/>
              </w:rPr>
              <w:t>կիրառությամբ</w:t>
            </w:r>
            <w:proofErr w:type="spellEnd"/>
          </w:p>
          <w:p w:rsidRPr="00127A4E" w:rsidR="00F10F9D" w:rsidP="00DF6CF3" w:rsidRDefault="00F10F9D" w14:paraId="5EA4561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+/-30% - 50% ճշգրտություն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F10F9D" w:rsidRDefault="00F10F9D" w14:paraId="61888175" w14:textId="77777777">
            <w:pPr>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տեխնիկական գնահատումը     և կապիտալ ծախսերը հաշվարկվում են` հիմք ընդունելով կառուցվող ենթակառուցվածքների ֆիզիկական բնութագրերի կամ    առկա ենթակառուցվածքների ամբողջական ուսումնասիրությունը</w:t>
            </w:r>
            <w:r w:rsidRPr="00127A4E">
              <w:rPr>
                <w:rFonts w:hint="eastAsia" w:ascii="MS Mincho" w:hAnsi="MS Mincho" w:eastAsia="MS Mincho" w:cs="MS Mincho"/>
                <w:color w:val="auto"/>
                <w:sz w:val="20"/>
                <w:szCs w:val="20"/>
                <w:lang w:val="hy-AM"/>
              </w:rPr>
              <w:t>․</w:t>
            </w:r>
          </w:p>
          <w:p w:rsidRPr="00127A4E" w:rsidR="00F10F9D" w:rsidP="00DF6CF3" w:rsidRDefault="00F10F9D" w14:paraId="4CDB470F" w14:textId="77777777">
            <w:pPr>
              <w:spacing w:before="200" w:after="0" w:line="360" w:lineRule="auto"/>
              <w:rPr>
                <w:rFonts w:ascii="GHEA Grapalat" w:hAnsi="GHEA Grapalat" w:cs="Arial"/>
                <w:color w:val="auto"/>
                <w:sz w:val="20"/>
                <w:szCs w:val="20"/>
                <w:lang w:val="hy-AM"/>
              </w:rPr>
            </w:pPr>
            <w:proofErr w:type="spellStart"/>
            <w:r w:rsidRPr="00127A4E">
              <w:rPr>
                <w:rFonts w:ascii="GHEA Grapalat" w:hAnsi="GHEA Grapalat" w:cs="Arial"/>
                <w:color w:val="auto"/>
                <w:sz w:val="20"/>
                <w:szCs w:val="20"/>
                <w:lang w:val="hy-AM"/>
              </w:rPr>
              <w:t>նախագծահաշվային</w:t>
            </w:r>
            <w:proofErr w:type="spellEnd"/>
            <w:r w:rsidRPr="00127A4E">
              <w:rPr>
                <w:rFonts w:ascii="GHEA Grapalat" w:hAnsi="GHEA Grapalat" w:cs="Arial"/>
                <w:color w:val="auto"/>
                <w:sz w:val="20"/>
                <w:szCs w:val="20"/>
                <w:lang w:val="hy-AM"/>
              </w:rPr>
              <w:t xml:space="preserve"> փաստաթղթեր</w:t>
            </w:r>
          </w:p>
          <w:p w:rsidRPr="00127A4E" w:rsidR="00F10F9D" w:rsidP="00DF6CF3" w:rsidRDefault="00F10F9D" w14:paraId="1341F753"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սարքավորումների մատակարարների գնային առաջարկներ</w:t>
            </w:r>
          </w:p>
          <w:p w:rsidRPr="00127A4E" w:rsidR="00F10F9D" w:rsidP="00DF6CF3" w:rsidRDefault="00F10F9D" w14:paraId="64B9DBB4"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+/-10% -15% ճշգրտություն</w:t>
            </w:r>
          </w:p>
        </w:tc>
      </w:tr>
      <w:tr w:rsidRPr="00127A4E" w:rsidR="00F10F9D" w:rsidTr="00DF6CF3" w14:paraId="49999D90" w14:textId="77777777">
        <w:trPr>
          <w:trHeight w:val="122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1786148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Շահագործման և պահպանման ծախսեր</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DCF24D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Շահագործման, պահպանման, վարչական, ծառայությունների մատուցման ծախսերի նախնական գնահատականներ՝ հիմնված են համանման ծրագրերի ծախսերի, աշխատակիցների թվի ենթադրությունների  վրա</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EC507BF"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Շահագործման ծախսերի ամբողջական գնահատում </w:t>
            </w:r>
          </w:p>
          <w:p w:rsidRPr="00127A4E" w:rsidR="00F10F9D" w:rsidP="00DF6CF3" w:rsidRDefault="00F10F9D" w14:paraId="47C71AB4"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Հաստիքացուցակ </w:t>
            </w:r>
          </w:p>
          <w:p w:rsidRPr="00127A4E" w:rsidR="00F10F9D" w:rsidP="00DF6CF3" w:rsidRDefault="00F10F9D" w14:paraId="3C584FF2"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Պահպանման ծախսեր, կոմունալ ծախսեր </w:t>
            </w:r>
          </w:p>
          <w:p w:rsidRPr="00127A4E" w:rsidR="00F10F9D" w:rsidP="00DF6CF3" w:rsidRDefault="00F10F9D" w14:paraId="22FFC79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Չնախատեսված ծախսերի ենթադրություններ</w:t>
            </w:r>
          </w:p>
        </w:tc>
      </w:tr>
      <w:tr w:rsidRPr="00127A4E" w:rsidR="00F10F9D" w:rsidTr="00DF6CF3" w14:paraId="04F01119" w14:textId="77777777">
        <w:trPr>
          <w:trHeight w:val="87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253E7AC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Կատարողական չափանիշներ</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8F7DEA1" w14:textId="77777777">
            <w:pPr>
              <w:spacing w:before="200" w:after="0" w:line="360" w:lineRule="auto"/>
              <w:rPr>
                <w:rFonts w:ascii="GHEA Grapalat" w:hAnsi="GHEA Grapalat" w:cs="Arial"/>
                <w:color w:val="auto"/>
                <w:sz w:val="20"/>
                <w:szCs w:val="20"/>
                <w:lang w:val="hy-AM"/>
              </w:rPr>
            </w:pP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824C04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սահմանվում են ենթակառուցվածքի տեխնիկական կատարողական նվազագույն ստանդարտները և ցուցանիշները</w:t>
            </w:r>
            <w:r w:rsidRPr="00127A4E">
              <w:rPr>
                <w:rFonts w:hint="eastAsia" w:ascii="MS Mincho" w:hAnsi="MS Mincho" w:eastAsia="MS Mincho" w:cs="MS Mincho"/>
                <w:color w:val="auto"/>
                <w:sz w:val="20"/>
                <w:szCs w:val="20"/>
                <w:lang w:val="hy-AM"/>
              </w:rPr>
              <w:t>․</w:t>
            </w:r>
            <w:r w:rsidRPr="00127A4E">
              <w:rPr>
                <w:rFonts w:ascii="GHEA Grapalat" w:hAnsi="GHEA Grapalat" w:cs="Arial"/>
                <w:color w:val="auto"/>
                <w:sz w:val="20"/>
                <w:szCs w:val="20"/>
                <w:lang w:val="hy-AM"/>
              </w:rPr>
              <w:t xml:space="preserve"> </w:t>
            </w:r>
          </w:p>
        </w:tc>
      </w:tr>
      <w:tr w:rsidRPr="00127A4E" w:rsidR="00F10F9D" w:rsidTr="00DF6CF3" w14:paraId="6990C037" w14:textId="77777777">
        <w:trPr>
          <w:trHeight w:val="258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8CCA84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Իրավական և կարգավորող շրջանակ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2E5F739F"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կիրառելի իրավական շրջանակի նկարագրություն</w:t>
            </w:r>
          </w:p>
          <w:p w:rsidRPr="00127A4E" w:rsidR="00F10F9D" w:rsidP="00DF6CF3" w:rsidRDefault="00F10F9D" w14:paraId="1EE36278"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անհրաժեշտ թույլտվությունների և լիցենզիաների ամփոփ նկարագիր </w:t>
            </w:r>
          </w:p>
          <w:p w:rsidRPr="00127A4E" w:rsidR="00F10F9D" w:rsidP="00DF6CF3" w:rsidRDefault="00F10F9D" w14:paraId="144568EB"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հնարավոր իրավական խոչընդոտների հատկորոշում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5D6B23F"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ընդլայնված իրավական պատշաճ ուսումնասիրություն (</w:t>
            </w:r>
            <w:proofErr w:type="spellStart"/>
            <w:r w:rsidRPr="00127A4E">
              <w:rPr>
                <w:rFonts w:ascii="GHEA Grapalat" w:hAnsi="GHEA Grapalat" w:cs="Arial"/>
                <w:color w:val="auto"/>
                <w:sz w:val="20"/>
                <w:szCs w:val="20"/>
                <w:lang w:val="hy-AM"/>
              </w:rPr>
              <w:t>due</w:t>
            </w:r>
            <w:proofErr w:type="spellEnd"/>
            <w:r w:rsidRPr="00127A4E">
              <w:rPr>
                <w:rFonts w:ascii="GHEA Grapalat" w:hAnsi="GHEA Grapalat" w:cs="Arial"/>
                <w:color w:val="auto"/>
                <w:sz w:val="20"/>
                <w:szCs w:val="20"/>
                <w:lang w:val="hy-AM"/>
              </w:rPr>
              <w:t xml:space="preserve"> </w:t>
            </w:r>
            <w:proofErr w:type="spellStart"/>
            <w:r w:rsidRPr="00127A4E">
              <w:rPr>
                <w:rFonts w:ascii="GHEA Grapalat" w:hAnsi="GHEA Grapalat" w:cs="Arial"/>
                <w:color w:val="auto"/>
                <w:sz w:val="20"/>
                <w:szCs w:val="20"/>
                <w:lang w:val="hy-AM"/>
              </w:rPr>
              <w:t>diligence</w:t>
            </w:r>
            <w:proofErr w:type="spellEnd"/>
            <w:r w:rsidRPr="00127A4E">
              <w:rPr>
                <w:rFonts w:ascii="GHEA Grapalat" w:hAnsi="GHEA Grapalat" w:cs="Arial"/>
                <w:color w:val="auto"/>
                <w:sz w:val="20"/>
                <w:szCs w:val="20"/>
                <w:lang w:val="hy-AM"/>
              </w:rPr>
              <w:t>)</w:t>
            </w:r>
          </w:p>
          <w:p w:rsidRPr="00127A4E" w:rsidR="00F10F9D" w:rsidP="00DF6CF3" w:rsidRDefault="00F10F9D" w14:paraId="5881018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Իրավական ռիսկերի գնահատում</w:t>
            </w:r>
          </w:p>
          <w:p w:rsidRPr="00127A4E" w:rsidR="00F10F9D" w:rsidP="00DF6CF3" w:rsidRDefault="00F10F9D" w14:paraId="6824DF2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w:t>
            </w:r>
            <w:proofErr w:type="spellStart"/>
            <w:r w:rsidRPr="00127A4E">
              <w:rPr>
                <w:rFonts w:ascii="GHEA Grapalat" w:hAnsi="GHEA Grapalat" w:cs="Arial"/>
                <w:color w:val="auto"/>
                <w:sz w:val="20"/>
                <w:szCs w:val="20"/>
                <w:lang w:val="hy-AM"/>
              </w:rPr>
              <w:t>ենթակապալառուների</w:t>
            </w:r>
            <w:proofErr w:type="spellEnd"/>
            <w:r w:rsidRPr="00127A4E">
              <w:rPr>
                <w:rFonts w:ascii="GHEA Grapalat" w:hAnsi="GHEA Grapalat" w:cs="Arial"/>
                <w:color w:val="auto"/>
                <w:sz w:val="20"/>
                <w:szCs w:val="20"/>
                <w:lang w:val="hy-AM"/>
              </w:rPr>
              <w:t xml:space="preserve"> հետ հնարավոր պայմանագրային շրջանակի նկարագրություն  </w:t>
            </w:r>
          </w:p>
        </w:tc>
      </w:tr>
      <w:tr w:rsidRPr="00127A4E" w:rsidR="00F10F9D" w:rsidTr="00DF6CF3" w14:paraId="1CF5D366" w14:textId="77777777">
        <w:trPr>
          <w:trHeight w:val="258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12AE5E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Ինստիտուցիոնալ լուծում</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15C2CCA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ծրագրի իրականացման ինստիտուցիոնալ լուծումների ամփոփ նկարագրություն </w:t>
            </w:r>
          </w:p>
          <w:p w:rsidRPr="00127A4E" w:rsidR="00F10F9D" w:rsidP="00DF6CF3" w:rsidRDefault="00F10F9D" w14:paraId="6D31CE59"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դերերի և պարտավորությունների ընդհանրական բաշխում </w:t>
            </w:r>
          </w:p>
          <w:p w:rsidRPr="00127A4E" w:rsidR="00F10F9D" w:rsidP="00DF6CF3" w:rsidRDefault="00F10F9D" w14:paraId="2AC6289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կարողությունների բացերի դուրս բերում</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F0EFC73"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մանրամասն ինստիտուցիոնալ վերլուծություն </w:t>
            </w:r>
          </w:p>
          <w:p w:rsidRPr="00127A4E" w:rsidR="00F10F9D" w:rsidP="00DF6CF3" w:rsidRDefault="00F10F9D" w14:paraId="4CF77CF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կառավարման կառուցվածք </w:t>
            </w:r>
          </w:p>
          <w:p w:rsidRPr="00127A4E" w:rsidR="00F10F9D" w:rsidP="00DF6CF3" w:rsidRDefault="00F10F9D" w14:paraId="4D825B4F"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կարողությունների բաշխում, առկա բացերի լրացման եղանակների նկարագրություն</w:t>
            </w:r>
          </w:p>
        </w:tc>
      </w:tr>
      <w:tr w:rsidRPr="00127A4E" w:rsidR="00F10F9D" w:rsidTr="00DF6CF3" w14:paraId="27C52526" w14:textId="77777777">
        <w:trPr>
          <w:trHeight w:val="303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1DBBA089"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Հողամասեր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20A6F4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իրականացման համար անհրաժեշտ հողամասերի գծով ծախսերը    հաշվարկվում են` հիմք ընդունելով հողամասի մակերեսը և համադրելի տեղեկությամբ/ տվյալներով ստացված արժեքները.</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255ACF08"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Հողամասերի անհրաժեշտությունը և առկայությունը՝ հիմք ընդունելով կարիքների ամբողջական գնահատումը, հողամասերի ձեռքբերման ծրագիրը և ծախսերի համապատասխանությունը շուկայական գներին</w:t>
            </w:r>
            <w:r w:rsidRPr="00127A4E">
              <w:rPr>
                <w:rFonts w:hint="eastAsia" w:ascii="MS Mincho" w:hAnsi="MS Mincho" w:eastAsia="MS Mincho" w:cs="MS Mincho"/>
                <w:color w:val="auto"/>
                <w:sz w:val="20"/>
                <w:szCs w:val="20"/>
                <w:lang w:val="hy-AM"/>
              </w:rPr>
              <w:t>․</w:t>
            </w:r>
          </w:p>
        </w:tc>
      </w:tr>
      <w:tr w:rsidRPr="00127A4E" w:rsidR="00F10F9D" w:rsidTr="00DF6CF3" w14:paraId="24476E4E" w14:textId="77777777">
        <w:trPr>
          <w:trHeight w:val="122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12EE1F8"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Պահանջարկ</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E9FC5A8"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Վերջնական սպառողների կողմից հնարավոր պահանջարկը և դրա կարողությունը՝ նպաստելու հնարավոր ծրագրի տնտեսական և ֆինանսական իրագործելիությանը, որում` </w:t>
            </w:r>
          </w:p>
          <w:p w:rsidRPr="00127A4E" w:rsidR="00F10F9D" w:rsidP="00DF6CF3" w:rsidRDefault="00F10F9D" w14:paraId="226E7A5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w:t>
            </w:r>
            <w:proofErr w:type="spellStart"/>
            <w:r w:rsidRPr="00127A4E">
              <w:rPr>
                <w:rFonts w:ascii="GHEA Grapalat" w:hAnsi="GHEA Grapalat" w:cs="Arial"/>
                <w:color w:val="auto"/>
                <w:sz w:val="20"/>
                <w:szCs w:val="20"/>
                <w:lang w:val="hy-AM"/>
              </w:rPr>
              <w:t>մակրո</w:t>
            </w:r>
            <w:proofErr w:type="spellEnd"/>
            <w:r w:rsidRPr="00127A4E">
              <w:rPr>
                <w:rFonts w:ascii="GHEA Grapalat" w:hAnsi="GHEA Grapalat" w:cs="Arial"/>
                <w:color w:val="auto"/>
                <w:sz w:val="20"/>
                <w:szCs w:val="20"/>
                <w:lang w:val="hy-AM"/>
              </w:rPr>
              <w:t xml:space="preserve"> մակարդակով շուկայի գնահատում </w:t>
            </w:r>
          </w:p>
          <w:p w:rsidRPr="00127A4E" w:rsidR="00F10F9D" w:rsidP="00DF6CF3" w:rsidRDefault="00F10F9D" w14:paraId="03588AA4"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հասանելի տվյալների վրա պահանջարկի և դրա աճի կանխատեսում </w:t>
            </w:r>
          </w:p>
          <w:p w:rsidRPr="00127A4E" w:rsidR="00F10F9D" w:rsidP="00DF6CF3" w:rsidRDefault="00F10F9D" w14:paraId="76CB750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առկայության դեպքում համանման ծրագրերի </w:t>
            </w:r>
            <w:proofErr w:type="spellStart"/>
            <w:r w:rsidRPr="00127A4E">
              <w:rPr>
                <w:rFonts w:ascii="GHEA Grapalat" w:hAnsi="GHEA Grapalat" w:cs="Arial"/>
                <w:color w:val="auto"/>
                <w:sz w:val="20"/>
                <w:szCs w:val="20"/>
                <w:lang w:val="hy-AM"/>
              </w:rPr>
              <w:t>բենչմարքինգ</w:t>
            </w:r>
            <w:proofErr w:type="spellEnd"/>
          </w:p>
          <w:p w:rsidRPr="00127A4E" w:rsidR="00F10F9D" w:rsidP="00DF6CF3" w:rsidRDefault="00F10F9D" w14:paraId="7655FB1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պահանջարկի վրա ազդող հիմնական գործոնների նկարագրություն</w:t>
            </w:r>
          </w:p>
          <w:p w:rsidRPr="00127A4E" w:rsidR="00F10F9D" w:rsidP="00DF6CF3" w:rsidRDefault="00F10F9D" w14:paraId="5B8D8D85"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-պահանջարկի աճի գնահատումը հիմնվում է  նմանատիպ ենթակառուցվածքների մասով ընդհանուր միջին արժեքների վրա</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07B192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Վերջնական     սպառողների կողմից հնարավոր պահանջարկը (այդ թվում՝ ծրագրի պահանջարկի վերաբերյալ առաջնային հարցումները   ) և դրա կարողությունը՝ նպաստելու ծրագրի տնտեսական և ֆինանսական իրագործելիությանը, որում` </w:t>
            </w:r>
          </w:p>
          <w:p w:rsidRPr="00127A4E" w:rsidR="00F10F9D" w:rsidP="00DF6CF3" w:rsidRDefault="00F10F9D" w14:paraId="6D8003D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շուկայի ամբողջական տվյալներ առաջնային աղբյուրներից </w:t>
            </w:r>
          </w:p>
          <w:p w:rsidRPr="00127A4E" w:rsidR="00F10F9D" w:rsidP="00DF6CF3" w:rsidRDefault="00F10F9D" w14:paraId="631F5A4A"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պահանջարկի </w:t>
            </w:r>
            <w:proofErr w:type="spellStart"/>
            <w:r w:rsidRPr="00127A4E">
              <w:rPr>
                <w:rFonts w:ascii="GHEA Grapalat" w:hAnsi="GHEA Grapalat" w:cs="Arial"/>
                <w:color w:val="auto"/>
                <w:sz w:val="20"/>
                <w:szCs w:val="20"/>
                <w:lang w:val="hy-AM"/>
              </w:rPr>
              <w:t>սեգմենտավորում</w:t>
            </w:r>
            <w:proofErr w:type="spellEnd"/>
            <w:r w:rsidRPr="00127A4E">
              <w:rPr>
                <w:rFonts w:ascii="GHEA Grapalat" w:hAnsi="GHEA Grapalat" w:cs="Arial"/>
                <w:color w:val="auto"/>
                <w:sz w:val="20"/>
                <w:szCs w:val="20"/>
                <w:lang w:val="hy-AM"/>
              </w:rPr>
              <w:t xml:space="preserve"> (ըստ տեսակի, </w:t>
            </w:r>
            <w:proofErr w:type="spellStart"/>
            <w:r w:rsidRPr="00127A4E">
              <w:rPr>
                <w:rFonts w:ascii="GHEA Grapalat" w:hAnsi="GHEA Grapalat" w:cs="Arial"/>
                <w:color w:val="auto"/>
                <w:sz w:val="20"/>
                <w:szCs w:val="20"/>
                <w:lang w:val="hy-AM"/>
              </w:rPr>
              <w:t>աշխարհրագրական</w:t>
            </w:r>
            <w:proofErr w:type="spellEnd"/>
            <w:r w:rsidRPr="00127A4E">
              <w:rPr>
                <w:rFonts w:ascii="GHEA Grapalat" w:hAnsi="GHEA Grapalat" w:cs="Arial"/>
                <w:color w:val="auto"/>
                <w:sz w:val="20"/>
                <w:szCs w:val="20"/>
                <w:lang w:val="hy-AM"/>
              </w:rPr>
              <w:t>, սեզոնային և այլ)</w:t>
            </w:r>
          </w:p>
          <w:p w:rsidRPr="00127A4E" w:rsidR="00F10F9D" w:rsidP="00DF6CF3" w:rsidRDefault="00F10F9D" w14:paraId="44D7C25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 պահանջարկի կանխատեսման մի քանի սցենարներ և </w:t>
            </w:r>
            <w:proofErr w:type="spellStart"/>
            <w:r w:rsidRPr="00127A4E">
              <w:rPr>
                <w:rFonts w:ascii="GHEA Grapalat" w:hAnsi="GHEA Grapalat" w:cs="Arial"/>
                <w:color w:val="auto"/>
                <w:sz w:val="20"/>
                <w:szCs w:val="20"/>
                <w:lang w:val="hy-AM"/>
              </w:rPr>
              <w:t>զգայությության</w:t>
            </w:r>
            <w:proofErr w:type="spellEnd"/>
            <w:r w:rsidRPr="00127A4E">
              <w:rPr>
                <w:rFonts w:ascii="GHEA Grapalat" w:hAnsi="GHEA Grapalat" w:cs="Arial"/>
                <w:color w:val="auto"/>
                <w:sz w:val="20"/>
                <w:szCs w:val="20"/>
                <w:lang w:val="hy-AM"/>
              </w:rPr>
              <w:t xml:space="preserve"> վերլուծություն</w:t>
            </w:r>
          </w:p>
        </w:tc>
      </w:tr>
      <w:tr w:rsidRPr="00127A4E" w:rsidR="00F10F9D" w:rsidTr="00DF6CF3" w14:paraId="5FCDC0CA" w14:textId="77777777">
        <w:trPr>
          <w:trHeight w:val="2240"/>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635F72FC"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Ռիսկեր</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5FCB26C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ռիսկերի վերլուծությունը հիմնվում է ծրագրի նախնական տեխնիկատնտեսական հիմնավորման պահին առկա ամբողջ տեղեկատվության վրա</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F9B9C74"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ռիսկերի վերլուծությունը, ինչն ընդգրկում է տեխնիկատնտեսական ուսումնասիրության բոլոր բաժիններում ներկայացված ռիսկերի լիարժեք վերլուծությունների հիման վրա ռիսկերի հստակ նկարագրությունը, դրանց կառավարման մոտեցումները.</w:t>
            </w:r>
          </w:p>
        </w:tc>
      </w:tr>
      <w:tr w:rsidRPr="00127A4E" w:rsidR="00F10F9D" w:rsidTr="00DF6CF3" w14:paraId="2A127160" w14:textId="77777777">
        <w:trPr>
          <w:trHeight w:val="258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369FD7D"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ֆինանսական վերլուծություն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42EAB22"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Ծրագրի իրականացման ֆինանսական կենսունակության վերլուծություն՝ հնարավոր եկամուտների և ծախսերի նկարագրություն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D68019B"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Ծրագրի եկամուտների և ծախսերի, ֆինանսավորման աղբյուրների մանրամասն վերլուծություն։</w:t>
            </w:r>
          </w:p>
        </w:tc>
      </w:tr>
      <w:tr w:rsidRPr="00127A4E" w:rsidR="00F10F9D" w:rsidTr="00DF6CF3" w14:paraId="408B7EE7" w14:textId="77777777">
        <w:trPr>
          <w:trHeight w:val="189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20943017"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xml:space="preserve">Հնարավոր խոչընդոտներ </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7005AF6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Հնարավոր խնդիրները, որոնք կարող են խոչընդոտել ծրագրի իրականացմանը, այդ թվում՝ էական բնապահպանական խնդիրները, պատմական գտածոների հետ կապված խնդիրները, համայնքի էական դիմադրությունը, լիազոր մարմնի կողմից վերհանվող հարկաբյուջետային ու ֆիսկալ կայունության ապահովման խնդիրները    և այլն.</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252611F4" w14:textId="77777777">
            <w:pPr>
              <w:spacing w:before="200" w:after="0" w:line="360" w:lineRule="auto"/>
              <w:rPr>
                <w:rFonts w:ascii="GHEA Grapalat" w:hAnsi="GHEA Grapalat" w:cs="Arial"/>
                <w:color w:val="auto"/>
                <w:sz w:val="20"/>
                <w:szCs w:val="20"/>
                <w:lang w:val="hy-AM"/>
              </w:rPr>
            </w:pPr>
          </w:p>
        </w:tc>
      </w:tr>
      <w:tr w:rsidRPr="00127A4E" w:rsidR="00F10F9D" w:rsidTr="00DF6CF3" w14:paraId="68D99098" w14:textId="77777777">
        <w:trPr>
          <w:trHeight w:val="1565"/>
        </w:trPr>
        <w:tc>
          <w:tcPr>
            <w:tcW w:w="1344"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429045C6"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Ժամանակացույց</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33D19F5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Իրագործման նախնական ժամանակացույց</w:t>
            </w:r>
          </w:p>
        </w:tc>
        <w:tc>
          <w:tcPr>
            <w:tcW w:w="4320" w:type="dxa"/>
            <w:tcBorders>
              <w:top w:val="single" w:color="000000" w:sz="4" w:space="0"/>
              <w:left w:val="single" w:color="000000" w:sz="4" w:space="0"/>
              <w:bottom w:val="single" w:color="000000" w:sz="4" w:space="0"/>
              <w:right w:val="single" w:color="000000" w:sz="4" w:space="0"/>
            </w:tcBorders>
            <w:tcMar>
              <w:top w:w="100" w:type="dxa"/>
              <w:left w:w="100" w:type="dxa"/>
              <w:bottom w:w="100" w:type="dxa"/>
              <w:right w:w="100" w:type="dxa"/>
            </w:tcMar>
          </w:tcPr>
          <w:p w:rsidRPr="00127A4E" w:rsidR="00F10F9D" w:rsidP="00DF6CF3" w:rsidRDefault="00F10F9D" w14:paraId="0BD98680"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Մանրամասն իրագործման ժամանակացույց</w:t>
            </w:r>
          </w:p>
          <w:p w:rsidRPr="00127A4E" w:rsidR="00F10F9D" w:rsidP="00DF6CF3" w:rsidRDefault="00F10F9D" w14:paraId="33098616"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Ծրագրի առանցքային կատարողական փուլերը</w:t>
            </w:r>
          </w:p>
          <w:p w:rsidRPr="00127A4E" w:rsidR="00F10F9D" w:rsidP="00DF6CF3" w:rsidRDefault="00F10F9D" w14:paraId="0F69CC91" w14:textId="77777777">
            <w:pPr>
              <w:spacing w:before="200" w:after="0" w:line="360" w:lineRule="auto"/>
              <w:rPr>
                <w:rFonts w:ascii="GHEA Grapalat" w:hAnsi="GHEA Grapalat" w:cs="Arial"/>
                <w:color w:val="auto"/>
                <w:sz w:val="20"/>
                <w:szCs w:val="20"/>
                <w:lang w:val="hy-AM"/>
              </w:rPr>
            </w:pPr>
            <w:r w:rsidRPr="00127A4E">
              <w:rPr>
                <w:rFonts w:ascii="GHEA Grapalat" w:hAnsi="GHEA Grapalat" w:cs="Arial"/>
                <w:color w:val="auto"/>
                <w:sz w:val="20"/>
                <w:szCs w:val="20"/>
                <w:lang w:val="hy-AM"/>
              </w:rPr>
              <w:t>- Գնումների ռազմավարություն և պլան</w:t>
            </w:r>
          </w:p>
        </w:tc>
      </w:tr>
    </w:tbl>
    <w:p w:rsidRPr="00127A4E" w:rsidR="00F10F9D" w:rsidP="00F10F9D" w:rsidRDefault="00F10F9D" w14:paraId="25616318" w14:textId="77777777">
      <w:pPr>
        <w:spacing w:before="200" w:after="0" w:line="360" w:lineRule="auto"/>
        <w:rPr>
          <w:rFonts w:ascii="GHEA Grapalat" w:hAnsi="GHEA Grapalat" w:cs="Arial"/>
          <w:color w:val="auto"/>
          <w:sz w:val="20"/>
          <w:szCs w:val="20"/>
          <w:lang w:val="hy-AM"/>
        </w:rPr>
      </w:pPr>
    </w:p>
    <w:p w:rsidRPr="00127A4E" w:rsidR="00F10F9D" w:rsidP="00F10F9D" w:rsidRDefault="00F10F9D" w14:paraId="242357E0" w14:textId="77777777">
      <w:pPr>
        <w:spacing w:before="200" w:after="0" w:line="360" w:lineRule="auto"/>
        <w:rPr>
          <w:rFonts w:ascii="GHEA Grapalat" w:hAnsi="GHEA Grapalat" w:cs="Arial"/>
          <w:color w:val="auto"/>
          <w:sz w:val="20"/>
          <w:szCs w:val="20"/>
          <w:lang w:val="hy-AM"/>
        </w:rPr>
      </w:pPr>
    </w:p>
    <w:p w:rsidRPr="00127A4E" w:rsidR="00F10F9D" w:rsidP="00F10F9D" w:rsidRDefault="00F10F9D" w14:paraId="7AEF0324" w14:textId="77777777">
      <w:pPr>
        <w:spacing w:before="200" w:after="0" w:line="360" w:lineRule="auto"/>
        <w:rPr>
          <w:rFonts w:ascii="GHEA Grapalat" w:hAnsi="GHEA Grapalat" w:cs="Arial"/>
          <w:color w:val="auto"/>
          <w:sz w:val="20"/>
          <w:szCs w:val="20"/>
          <w:lang w:val="hy-AM"/>
        </w:rPr>
      </w:pPr>
    </w:p>
    <w:p w:rsidRPr="00127A4E" w:rsidR="00E061D1" w:rsidRDefault="00E061D1" w14:paraId="5C6A36B1" w14:textId="77777777">
      <w:pPr>
        <w:rPr>
          <w:rFonts w:ascii="GHEA Grapalat" w:hAnsi="GHEA Grapalat"/>
        </w:rPr>
      </w:pPr>
    </w:p>
    <w:sectPr w:rsidRPr="00127A4E" w:rsidR="00E061D1" w:rsidSect="00F10F9D">
      <w:footerReference w:type="even" r:id="rId7"/>
      <w:footerReference w:type="default" r:id="rId8"/>
      <w:footerReference w:type="first" r:id="rId9"/>
      <w:pgSz w:w="12240" w:h="15840" w:orient="portrait"/>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7947" w:rsidP="000B7947" w:rsidRDefault="000B7947" w14:paraId="291A5B56" w14:textId="77777777">
      <w:pPr>
        <w:spacing w:after="0" w:line="240" w:lineRule="auto"/>
      </w:pPr>
      <w:r>
        <w:separator/>
      </w:r>
    </w:p>
  </w:endnote>
  <w:endnote w:type="continuationSeparator" w:id="0">
    <w:p w:rsidR="000B7947" w:rsidP="000B7947" w:rsidRDefault="000B7947" w14:paraId="7D5AEB0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B7947" w:rsidRDefault="000B7947" w14:paraId="6F01563A" w14:textId="2752636D">
    <w:pPr>
      <w:pStyle w:val="Footer"/>
    </w:pPr>
    <w:r>
      <w:rPr>
        <w:noProof/>
      </w:rPr>
      <mc:AlternateContent>
        <mc:Choice Requires="wps">
          <w:drawing>
            <wp:anchor distT="0" distB="0" distL="0" distR="0" simplePos="0" relativeHeight="251659264" behindDoc="0" locked="0" layoutInCell="1" allowOverlap="1" wp14:anchorId="1EBD2624" wp14:editId="2939BF11">
              <wp:simplePos x="635" y="635"/>
              <wp:positionH relativeFrom="page">
                <wp:align>center</wp:align>
              </wp:positionH>
              <wp:positionV relativeFrom="page">
                <wp:align>bottom</wp:align>
              </wp:positionV>
              <wp:extent cx="5934075" cy="323850"/>
              <wp:effectExtent l="0" t="0" r="9525" b="0"/>
              <wp:wrapNone/>
              <wp:docPr id="1668672069"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34075" cy="323850"/>
                      </a:xfrm>
                      <a:prstGeom prst="rect">
                        <a:avLst/>
                      </a:prstGeom>
                      <a:noFill/>
                      <a:ln>
                        <a:noFill/>
                      </a:ln>
                    </wps:spPr>
                    <wps:txbx>
                      <w:txbxContent>
                        <w:p w:rsidRPr="000B7947" w:rsidR="000B7947" w:rsidP="000B7947" w:rsidRDefault="000B7947" w14:paraId="17053AFB" w14:textId="3EB462A9">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1EBD2624">
              <v:stroke joinstyle="miter"/>
              <v:path gradientshapeok="t" o:connecttype="rect"/>
            </v:shapetype>
            <v:shape id="Text Box 2" style="position:absolute;margin-left:0;margin-top:0;width:467.25pt;height:25.5pt;z-index:251659264;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">
              <v:fill o:detectmouseclick="t"/>
              <v:textbox style="mso-fit-shape-to-text:t" inset="0,0,0,15pt">
                <w:txbxContent>
                  <w:p w:rsidRPr="000B7947" w:rsidR="000B7947" w:rsidP="000B7947" w:rsidRDefault="000B7947" w14:paraId="17053AFB" w14:textId="3EB462A9">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B7947" w:rsidRDefault="000B7947" w14:paraId="791C7E59" w14:textId="3A1230E7">
    <w:pPr>
      <w:pStyle w:val="Footer"/>
    </w:pPr>
    <w:r>
      <w:rPr>
        <w:noProof/>
      </w:rPr>
      <mc:AlternateContent>
        <mc:Choice Requires="wps">
          <w:drawing>
            <wp:anchor distT="0" distB="0" distL="0" distR="0" simplePos="0" relativeHeight="251660288" behindDoc="0" locked="0" layoutInCell="1" allowOverlap="1" wp14:anchorId="66EAD9AB" wp14:editId="43C9D932">
              <wp:simplePos x="635" y="635"/>
              <wp:positionH relativeFrom="page">
                <wp:align>center</wp:align>
              </wp:positionH>
              <wp:positionV relativeFrom="page">
                <wp:align>bottom</wp:align>
              </wp:positionV>
              <wp:extent cx="5934075" cy="323850"/>
              <wp:effectExtent l="0" t="0" r="9525" b="0"/>
              <wp:wrapNone/>
              <wp:docPr id="446055602"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34075" cy="323850"/>
                      </a:xfrm>
                      <a:prstGeom prst="rect">
                        <a:avLst/>
                      </a:prstGeom>
                      <a:noFill/>
                      <a:ln>
                        <a:noFill/>
                      </a:ln>
                    </wps:spPr>
                    <wps:txbx>
                      <w:txbxContent>
                        <w:p w:rsidRPr="000B7947" w:rsidR="000B7947" w:rsidP="000B7947" w:rsidRDefault="000B7947" w14:paraId="0EAE6C46" w14:textId="547C68B5">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66EAD9AB">
              <v:stroke joinstyle="miter"/>
              <v:path gradientshapeok="t" o:connecttype="rect"/>
            </v:shapetype>
            <v:shape id="Text Box 3" style="position:absolute;margin-left:0;margin-top:0;width:467.25pt;height:25.5pt;z-index:251660288;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">
              <v:fill o:detectmouseclick="t"/>
              <v:textbox style="mso-fit-shape-to-text:t" inset="0,0,0,15pt">
                <w:txbxContent>
                  <w:p w:rsidRPr="000B7947" w:rsidR="000B7947" w:rsidP="000B7947" w:rsidRDefault="000B7947" w14:paraId="0EAE6C46" w14:textId="547C68B5">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0B7947" w:rsidRDefault="000B7947" w14:paraId="6796BCFE" w14:textId="46BFF64A">
    <w:pPr>
      <w:pStyle w:val="Footer"/>
    </w:pPr>
    <w:r>
      <w:rPr>
        <w:noProof/>
      </w:rPr>
      <mc:AlternateContent>
        <mc:Choice Requires="wps">
          <w:drawing>
            <wp:anchor distT="0" distB="0" distL="0" distR="0" simplePos="0" relativeHeight="251658240" behindDoc="0" locked="0" layoutInCell="1" allowOverlap="1" wp14:anchorId="4D584907" wp14:editId="4E4ED562">
              <wp:simplePos x="635" y="635"/>
              <wp:positionH relativeFrom="page">
                <wp:align>center</wp:align>
              </wp:positionH>
              <wp:positionV relativeFrom="page">
                <wp:align>bottom</wp:align>
              </wp:positionV>
              <wp:extent cx="5934075" cy="323850"/>
              <wp:effectExtent l="0" t="0" r="9525" b="0"/>
              <wp:wrapNone/>
              <wp:docPr id="172133779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34075" cy="323850"/>
                      </a:xfrm>
                      <a:prstGeom prst="rect">
                        <a:avLst/>
                      </a:prstGeom>
                      <a:noFill/>
                      <a:ln>
                        <a:noFill/>
                      </a:ln>
                    </wps:spPr>
                    <wps:txbx>
                      <w:txbxContent>
                        <w:p w:rsidRPr="000B7947" w:rsidR="000B7947" w:rsidP="000B7947" w:rsidRDefault="000B7947" w14:paraId="6A3A7DCD" w14:textId="60F912B0">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D584907">
              <v:stroke joinstyle="miter"/>
              <v:path gradientshapeok="t" o:connecttype="rect"/>
            </v:shapetype>
            <v:shape id="Text Box 1" style="position:absolute;margin-left:0;margin-top:0;width:467.25pt;height:25.5pt;z-index:251658240;visibility:visible;mso-wrap-style:none;mso-wrap-distance-left:0;mso-wrap-distance-top:0;mso-wrap-distance-right:0;mso-wrap-distance-bottom:0;mso-position-horizontal:center;mso-position-horizontal-relative:page;mso-position-vertical:bottom;mso-position-vertical-relative:page;v-text-anchor:bottom"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">
              <v:fill o:detectmouseclick="t"/>
              <v:textbox style="mso-fit-shape-to-text:t" inset="0,0,0,15pt">
                <w:txbxContent>
                  <w:p w:rsidRPr="000B7947" w:rsidR="000B7947" w:rsidP="000B7947" w:rsidRDefault="000B7947" w14:paraId="6A3A7DCD" w14:textId="60F912B0">
                    <w:pPr>
                      <w:spacing w:after="0"/>
                      <w:rPr>
                        <w:rFonts w:eastAsia="Aptos"/>
                        <w:noProof/>
                        <w:sz w:val="16"/>
                        <w:szCs w:val="16"/>
                      </w:rPr>
                    </w:pPr>
                    <w:r w:rsidRPr="000B7947">
                      <w:rPr>
                        <w:rFonts w:eastAsia="Aptos"/>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7947" w:rsidP="000B7947" w:rsidRDefault="000B7947" w14:paraId="2EAB556C" w14:textId="77777777">
      <w:pPr>
        <w:spacing w:after="0" w:line="240" w:lineRule="auto"/>
      </w:pPr>
      <w:r>
        <w:separator/>
      </w:r>
    </w:p>
  </w:footnote>
  <w:footnote w:type="continuationSeparator" w:id="0">
    <w:p w:rsidR="000B7947" w:rsidP="000B7947" w:rsidRDefault="000B7947" w14:paraId="572B01CE"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tabs>
          <w:tab w:val="num" w:pos="360"/>
        </w:tabs>
        <w:ind w:left="720" w:hanging="360"/>
      </w:pPr>
      <w:rPr>
        <w:color w:val="000000"/>
        <w:u w:val="none"/>
      </w:rPr>
    </w:lvl>
    <w:lvl w:ilvl="1">
      <w:start w:val="1"/>
      <w:numFmt w:val="lowerLetter"/>
      <w:lvlText w:val="%2)"/>
      <w:lvlJc w:val="left"/>
      <w:pPr>
        <w:tabs>
          <w:tab w:val="num" w:pos="1080"/>
        </w:tabs>
        <w:ind w:left="1440" w:hanging="360"/>
      </w:pPr>
      <w:rPr>
        <w:color w:val="000000"/>
        <w:u w:val="none"/>
      </w:rPr>
    </w:lvl>
    <w:lvl w:ilvl="2">
      <w:start w:val="1"/>
      <w:numFmt w:val="lowerRoman"/>
      <w:lvlText w:val="%3)"/>
      <w:lvlJc w:val="right"/>
      <w:pPr>
        <w:tabs>
          <w:tab w:val="num" w:pos="1800"/>
        </w:tabs>
        <w:ind w:left="2160" w:hanging="180"/>
      </w:pPr>
      <w:rPr>
        <w:color w:val="000000"/>
        <w:u w:val="none"/>
      </w:rPr>
    </w:lvl>
    <w:lvl w:ilvl="3">
      <w:start w:val="1"/>
      <w:numFmt w:val="decimal"/>
      <w:lvlText w:val="(%4)"/>
      <w:lvlJc w:val="left"/>
      <w:pPr>
        <w:tabs>
          <w:tab w:val="num" w:pos="2520"/>
        </w:tabs>
        <w:ind w:left="2880" w:hanging="360"/>
      </w:pPr>
      <w:rPr>
        <w:color w:val="000000"/>
        <w:u w:val="none"/>
      </w:rPr>
    </w:lvl>
    <w:lvl w:ilvl="4">
      <w:start w:val="1"/>
      <w:numFmt w:val="lowerLetter"/>
      <w:lvlText w:val="(%5)"/>
      <w:lvlJc w:val="left"/>
      <w:pPr>
        <w:tabs>
          <w:tab w:val="num" w:pos="3240"/>
        </w:tabs>
        <w:ind w:left="3600" w:hanging="360"/>
      </w:pPr>
      <w:rPr>
        <w:color w:val="000000"/>
        <w:u w:val="none"/>
      </w:rPr>
    </w:lvl>
    <w:lvl w:ilvl="5">
      <w:start w:val="1"/>
      <w:numFmt w:val="lowerRoman"/>
      <w:lvlText w:val="(%6)"/>
      <w:lvlJc w:val="right"/>
      <w:pPr>
        <w:tabs>
          <w:tab w:val="num" w:pos="3960"/>
        </w:tabs>
        <w:ind w:left="4320" w:hanging="180"/>
      </w:pPr>
      <w:rPr>
        <w:color w:val="000000"/>
        <w:u w:val="none"/>
      </w:rPr>
    </w:lvl>
    <w:lvl w:ilvl="6">
      <w:start w:val="1"/>
      <w:numFmt w:val="decimal"/>
      <w:lvlText w:val="%7."/>
      <w:lvlJc w:val="left"/>
      <w:pPr>
        <w:tabs>
          <w:tab w:val="num" w:pos="4680"/>
        </w:tabs>
        <w:ind w:left="5040" w:hanging="360"/>
      </w:pPr>
      <w:rPr>
        <w:color w:val="000000"/>
        <w:u w:val="none"/>
      </w:rPr>
    </w:lvl>
    <w:lvl w:ilvl="7">
      <w:start w:val="1"/>
      <w:numFmt w:val="lowerLetter"/>
      <w:lvlText w:val="%8."/>
      <w:lvlJc w:val="left"/>
      <w:pPr>
        <w:tabs>
          <w:tab w:val="num" w:pos="5400"/>
        </w:tabs>
        <w:ind w:left="5760" w:hanging="360"/>
      </w:pPr>
      <w:rPr>
        <w:color w:val="000000"/>
        <w:u w:val="none"/>
      </w:rPr>
    </w:lvl>
    <w:lvl w:ilvl="8">
      <w:start w:val="1"/>
      <w:numFmt w:val="lowerRoman"/>
      <w:lvlText w:val="%9."/>
      <w:lvlJc w:val="right"/>
      <w:pPr>
        <w:tabs>
          <w:tab w:val="num" w:pos="6120"/>
        </w:tabs>
        <w:ind w:left="6480" w:hanging="180"/>
      </w:pPr>
      <w:rPr>
        <w:color w:val="000000"/>
        <w:u w:val="none"/>
      </w:rPr>
    </w:lvl>
  </w:abstractNum>
  <w:abstractNum w:abstractNumId="1" w15:restartNumberingAfterBreak="0">
    <w:nsid w:val="00000002"/>
    <w:multiLevelType w:val="multilevel"/>
    <w:tmpl w:val="FFFFFFFF"/>
    <w:lvl w:ilvl="0">
      <w:start w:val="1"/>
      <w:numFmt w:val="decimal"/>
      <w:lvlText w:val="%1."/>
      <w:lvlJc w:val="left"/>
      <w:pPr>
        <w:tabs>
          <w:tab w:val="num" w:pos="360"/>
        </w:tabs>
        <w:ind w:left="720" w:hanging="360"/>
      </w:pPr>
      <w:rPr>
        <w:color w:val="000000"/>
        <w:u w:val="none"/>
      </w:rPr>
    </w:lvl>
    <w:lvl w:ilvl="1">
      <w:start w:val="1"/>
      <w:numFmt w:val="lowerLetter"/>
      <w:lvlText w:val="%2."/>
      <w:lvlJc w:val="left"/>
      <w:pPr>
        <w:tabs>
          <w:tab w:val="num" w:pos="1080"/>
        </w:tabs>
        <w:ind w:left="1440" w:hanging="360"/>
      </w:pPr>
      <w:rPr>
        <w:color w:val="000000"/>
        <w:u w:val="none"/>
      </w:rPr>
    </w:lvl>
    <w:lvl w:ilvl="2">
      <w:start w:val="1"/>
      <w:numFmt w:val="lowerRoman"/>
      <w:lvlText w:val="%3."/>
      <w:lvlJc w:val="left"/>
      <w:pPr>
        <w:tabs>
          <w:tab w:val="num" w:pos="1800"/>
        </w:tabs>
        <w:ind w:left="2160" w:hanging="180"/>
      </w:pPr>
      <w:rPr>
        <w:color w:val="000000"/>
        <w:u w:val="none"/>
      </w:rPr>
    </w:lvl>
    <w:lvl w:ilvl="3">
      <w:start w:val="1"/>
      <w:numFmt w:val="decimal"/>
      <w:lvlText w:val="%4."/>
      <w:lvlJc w:val="left"/>
      <w:pPr>
        <w:tabs>
          <w:tab w:val="num" w:pos="2520"/>
        </w:tabs>
        <w:ind w:left="2880" w:hanging="360"/>
      </w:pPr>
      <w:rPr>
        <w:color w:val="000000"/>
        <w:u w:val="none"/>
      </w:rPr>
    </w:lvl>
    <w:lvl w:ilvl="4">
      <w:start w:val="1"/>
      <w:numFmt w:val="lowerLetter"/>
      <w:lvlText w:val="%5."/>
      <w:lvlJc w:val="left"/>
      <w:pPr>
        <w:tabs>
          <w:tab w:val="num" w:pos="3240"/>
        </w:tabs>
        <w:ind w:left="3600" w:hanging="360"/>
      </w:pPr>
      <w:rPr>
        <w:color w:val="000000"/>
        <w:u w:val="none"/>
      </w:rPr>
    </w:lvl>
    <w:lvl w:ilvl="5">
      <w:start w:val="1"/>
      <w:numFmt w:val="lowerRoman"/>
      <w:lvlText w:val="%6."/>
      <w:lvlJc w:val="left"/>
      <w:pPr>
        <w:tabs>
          <w:tab w:val="num" w:pos="3960"/>
        </w:tabs>
        <w:ind w:left="4320" w:hanging="180"/>
      </w:pPr>
      <w:rPr>
        <w:color w:val="000000"/>
        <w:u w:val="none"/>
      </w:rPr>
    </w:lvl>
    <w:lvl w:ilvl="6">
      <w:start w:val="1"/>
      <w:numFmt w:val="decimal"/>
      <w:lvlText w:val="%7."/>
      <w:lvlJc w:val="left"/>
      <w:pPr>
        <w:tabs>
          <w:tab w:val="num" w:pos="4680"/>
        </w:tabs>
        <w:ind w:left="5040" w:hanging="360"/>
      </w:pPr>
      <w:rPr>
        <w:color w:val="000000"/>
        <w:u w:val="none"/>
      </w:rPr>
    </w:lvl>
    <w:lvl w:ilvl="7">
      <w:start w:val="1"/>
      <w:numFmt w:val="lowerLetter"/>
      <w:lvlText w:val="%8."/>
      <w:lvlJc w:val="left"/>
      <w:pPr>
        <w:tabs>
          <w:tab w:val="num" w:pos="5400"/>
        </w:tabs>
        <w:ind w:left="5760" w:hanging="360"/>
      </w:pPr>
      <w:rPr>
        <w:color w:val="000000"/>
        <w:u w:val="none"/>
      </w:rPr>
    </w:lvl>
    <w:lvl w:ilvl="8">
      <w:start w:val="1"/>
      <w:numFmt w:val="lowerRoman"/>
      <w:lvlText w:val="%9."/>
      <w:lvlJc w:val="left"/>
      <w:pPr>
        <w:tabs>
          <w:tab w:val="num" w:pos="6120"/>
        </w:tabs>
        <w:ind w:left="6480" w:hanging="180"/>
      </w:pPr>
      <w:rPr>
        <w:color w:val="000000"/>
        <w:u w:val="none"/>
      </w:rPr>
    </w:lvl>
  </w:abstractNum>
  <w:num w:numId="1" w16cid:durableId="176895461">
    <w:abstractNumId w:val="0"/>
  </w:num>
  <w:num w:numId="2" w16cid:durableId="1050497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9D"/>
    <w:rsid w:val="0009684E"/>
    <w:rsid w:val="000B7947"/>
    <w:rsid w:val="00127A4E"/>
    <w:rsid w:val="001460E5"/>
    <w:rsid w:val="00156852"/>
    <w:rsid w:val="001B350D"/>
    <w:rsid w:val="00204859"/>
    <w:rsid w:val="002153A0"/>
    <w:rsid w:val="00412108"/>
    <w:rsid w:val="0046560C"/>
    <w:rsid w:val="00473342"/>
    <w:rsid w:val="004C0FD0"/>
    <w:rsid w:val="004E3DA8"/>
    <w:rsid w:val="005C610E"/>
    <w:rsid w:val="005D47C8"/>
    <w:rsid w:val="00681312"/>
    <w:rsid w:val="008B6614"/>
    <w:rsid w:val="00A00F0F"/>
    <w:rsid w:val="00AD6F0A"/>
    <w:rsid w:val="00E061D1"/>
    <w:rsid w:val="00F10F9D"/>
    <w:rsid w:val="2ECA1E25"/>
    <w:rsid w:val="2FF472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1E5CE"/>
  <w15:chartTrackingRefBased/>
  <w15:docId w15:val="{A5D05019-DB5B-40BA-BF4B-0ECC8F16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0F9D"/>
    <w:pPr>
      <w:spacing w:line="259" w:lineRule="auto"/>
    </w:pPr>
    <w:rPr>
      <w:rFonts w:ascii="Aptos" w:hAnsi="Aptos" w:eastAsia="Times New Roman" w:cs="Aptos"/>
      <w:color w:val="000000"/>
      <w:kern w:val="0"/>
      <w:sz w:val="22"/>
      <w:szCs w:val="22"/>
    </w:rPr>
  </w:style>
  <w:style w:type="paragraph" w:styleId="Heading1">
    <w:name w:val="heading 1"/>
    <w:basedOn w:val="Normal"/>
    <w:next w:val="Normal"/>
    <w:link w:val="Heading1Char"/>
    <w:uiPriority w:val="9"/>
    <w:qFormat/>
    <w:rsid w:val="00F10F9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0F9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10F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10F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10F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10F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0F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0F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0F9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10F9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F10F9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F10F9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F10F9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sid w:val="00F10F9D"/>
    <w:rPr>
      <w:rFonts w:eastAsiaTheme="majorEastAsia" w:cstheme="majorBidi"/>
      <w:color w:val="0F4761" w:themeColor="accent1" w:themeShade="BF"/>
    </w:rPr>
  </w:style>
  <w:style w:type="character" w:styleId="Heading6Char" w:customStyle="1">
    <w:name w:val="Heading 6 Char"/>
    <w:basedOn w:val="DefaultParagraphFont"/>
    <w:link w:val="Heading6"/>
    <w:uiPriority w:val="9"/>
    <w:rsid w:val="00F10F9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10F9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10F9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10F9D"/>
    <w:rPr>
      <w:rFonts w:eastAsiaTheme="majorEastAsia" w:cstheme="majorBidi"/>
      <w:color w:val="272727" w:themeColor="text1" w:themeTint="D8"/>
    </w:rPr>
  </w:style>
  <w:style w:type="paragraph" w:styleId="Title">
    <w:name w:val="Title"/>
    <w:basedOn w:val="Normal"/>
    <w:next w:val="Normal"/>
    <w:link w:val="TitleChar"/>
    <w:uiPriority w:val="10"/>
    <w:qFormat/>
    <w:rsid w:val="00F10F9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10F9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10F9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10F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F9D"/>
    <w:pPr>
      <w:spacing w:before="160"/>
      <w:jc w:val="center"/>
    </w:pPr>
    <w:rPr>
      <w:i/>
      <w:iCs/>
      <w:color w:val="404040" w:themeColor="text1" w:themeTint="BF"/>
    </w:rPr>
  </w:style>
  <w:style w:type="character" w:styleId="QuoteChar" w:customStyle="1">
    <w:name w:val="Quote Char"/>
    <w:basedOn w:val="DefaultParagraphFont"/>
    <w:link w:val="Quote"/>
    <w:uiPriority w:val="29"/>
    <w:rsid w:val="00F10F9D"/>
    <w:rPr>
      <w:i/>
      <w:iCs/>
      <w:color w:val="404040" w:themeColor="text1" w:themeTint="BF"/>
    </w:rPr>
  </w:style>
  <w:style w:type="paragraph" w:styleId="ListParagraph">
    <w:name w:val="List Paragraph"/>
    <w:basedOn w:val="Normal"/>
    <w:uiPriority w:val="34"/>
    <w:qFormat/>
    <w:rsid w:val="00F10F9D"/>
    <w:pPr>
      <w:ind w:left="720"/>
      <w:contextualSpacing/>
    </w:pPr>
  </w:style>
  <w:style w:type="character" w:styleId="IntenseEmphasis">
    <w:name w:val="Intense Emphasis"/>
    <w:basedOn w:val="DefaultParagraphFont"/>
    <w:uiPriority w:val="21"/>
    <w:qFormat/>
    <w:rsid w:val="00F10F9D"/>
    <w:rPr>
      <w:i/>
      <w:iCs/>
      <w:color w:val="0F4761" w:themeColor="accent1" w:themeShade="BF"/>
    </w:rPr>
  </w:style>
  <w:style w:type="paragraph" w:styleId="IntenseQuote">
    <w:name w:val="Intense Quote"/>
    <w:basedOn w:val="Normal"/>
    <w:next w:val="Normal"/>
    <w:link w:val="IntenseQuoteChar"/>
    <w:uiPriority w:val="30"/>
    <w:qFormat/>
    <w:rsid w:val="00F10F9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10F9D"/>
    <w:rPr>
      <w:i/>
      <w:iCs/>
      <w:color w:val="0F4761" w:themeColor="accent1" w:themeShade="BF"/>
    </w:rPr>
  </w:style>
  <w:style w:type="character" w:styleId="IntenseReference">
    <w:name w:val="Intense Reference"/>
    <w:basedOn w:val="DefaultParagraphFont"/>
    <w:uiPriority w:val="32"/>
    <w:qFormat/>
    <w:rsid w:val="00F10F9D"/>
    <w:rPr>
      <w:b/>
      <w:bCs/>
      <w:smallCaps/>
      <w:color w:val="0F4761" w:themeColor="accent1" w:themeShade="BF"/>
      <w:spacing w:val="5"/>
    </w:rPr>
  </w:style>
  <w:style w:type="character" w:styleId="CommentReference">
    <w:name w:val="annotation reference"/>
    <w:basedOn w:val="DefaultParagraphFont"/>
    <w:uiPriority w:val="99"/>
    <w:rsid w:val="00F10F9D"/>
    <w:rPr>
      <w:sz w:val="16"/>
      <w:szCs w:val="16"/>
    </w:rPr>
  </w:style>
  <w:style w:type="paragraph" w:styleId="Footer">
    <w:name w:val="footer"/>
    <w:basedOn w:val="Normal"/>
    <w:link w:val="FooterChar"/>
    <w:uiPriority w:val="99"/>
    <w:unhideWhenUsed/>
    <w:rsid w:val="000B7947"/>
    <w:pPr>
      <w:tabs>
        <w:tab w:val="center" w:pos="4680"/>
        <w:tab w:val="right" w:pos="9360"/>
      </w:tabs>
      <w:spacing w:after="0" w:line="240" w:lineRule="auto"/>
    </w:pPr>
  </w:style>
  <w:style w:type="character" w:styleId="FooterChar" w:customStyle="1">
    <w:name w:val="Footer Char"/>
    <w:basedOn w:val="DefaultParagraphFont"/>
    <w:link w:val="Footer"/>
    <w:uiPriority w:val="99"/>
    <w:rsid w:val="000B7947"/>
    <w:rPr>
      <w:rFonts w:ascii="Aptos" w:hAnsi="Aptos" w:eastAsia="Times New Roman" w:cs="Aptos"/>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Elena Khachvankyan</dc:creator>
  <keywords/>
  <dc:description/>
  <lastModifiedBy>eleonora.mkrtchyan@wisebrick.am</lastModifiedBy>
  <revision>8</revision>
  <dcterms:created xsi:type="dcterms:W3CDTF">2025-09-04T14:28:00.0000000Z</dcterms:created>
  <dcterms:modified xsi:type="dcterms:W3CDTF">2025-09-07T15:46:20.1043908Z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669987bf,6375ea45,1a9644b2</vt:lpwstr>
  </property>
  <property fmtid="{D5CDD505-2E9C-101B-9397-08002B2CF9AE}" pid="3" name="ClassificationContentMarkingFooterFontProps">
    <vt:lpwstr>#000000,8,Aptos</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2025-09-04T14:28:15Z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31ae1407-8f95-472c-ab60-85c7e4619b37</vt:lpwstr>
  </property>
  <property fmtid="{D5CDD505-2E9C-101B-9397-08002B2CF9AE}" pid="11" name="MSIP_Label_817d4574-7375-4d17-b29c-6e4c6df0fcb0_ContentBits">
    <vt:lpwstr>2</vt:lpwstr>
  </property>
  <property fmtid="{D5CDD505-2E9C-101B-9397-08002B2CF9AE}" pid="12" name="MSIP_Label_817d4574-7375-4d17-b29c-6e4c6df0fcb0_Tag">
    <vt:lpwstr>10, 3, 0, 2</vt:lpwstr>
  </property>
</Properties>
</file>